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5-2026-00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/ Erneuerung der Windmühlenflügel an der Windmühle in Blend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 der Gemeinde Blender sollen die Windmühlenflügel erneuert bzw. saniert werden.
Auftraggeber ist die Samtgemeinde Thedinghausen.
Berechtigter und Verpflichteter aus dem Vergabeverfahren ist ausschließlich die Samtgemeinde Thedinghaus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